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A3E4" w14:textId="77777777" w:rsidR="00EC73A1" w:rsidRDefault="00000000">
      <w:pPr>
        <w:tabs>
          <w:tab w:val="left" w:pos="0"/>
        </w:tabs>
        <w:adjustRightInd w:val="0"/>
        <w:snapToGrid w:val="0"/>
        <w:spacing w:beforeLines="100" w:before="240" w:afterLines="100" w:after="240" w:line="360" w:lineRule="auto"/>
        <w:jc w:val="center"/>
        <w:rPr>
          <w:rFonts w:ascii="宋体" w:eastAsia="宋体" w:hAnsi="宋体" w:cs="Times New Roman"/>
          <w:b/>
          <w:bCs/>
          <w:sz w:val="44"/>
          <w:szCs w:val="44"/>
        </w:rPr>
      </w:pPr>
      <w:r>
        <w:rPr>
          <w:rFonts w:ascii="宋体" w:eastAsia="宋体" w:hAnsi="宋体" w:cs="Times New Roman" w:hint="eastAsia"/>
          <w:b/>
          <w:bCs/>
          <w:sz w:val="44"/>
          <w:szCs w:val="44"/>
        </w:rPr>
        <w:t>招标公告</w:t>
      </w:r>
    </w:p>
    <w:p w14:paraId="1DF82903" w14:textId="27F9A60A"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菏泽市职教园东区（菏泽技师学院、菏泽艺术学校共用部分）网络中心机房软件系统防火墙需要升级改造。根据菏泽市财政局菏财采</w:t>
      </w:r>
      <w:r w:rsidR="008D365B" w:rsidRPr="00E31A22">
        <w:rPr>
          <w:rFonts w:ascii="宋体" w:eastAsia="宋体" w:hAnsi="宋体" w:cs="Times New Roman"/>
          <w:sz w:val="28"/>
          <w:szCs w:val="28"/>
        </w:rPr>
        <w:t>〔2020〕</w:t>
      </w:r>
      <w:r>
        <w:rPr>
          <w:rFonts w:ascii="宋体" w:eastAsia="宋体" w:hAnsi="宋体" w:cs="Times New Roman" w:hint="eastAsia"/>
          <w:sz w:val="28"/>
          <w:szCs w:val="28"/>
        </w:rPr>
        <w:t>19号“关于公布菏泽市政府集中采购目录及限额标准的通知”要求，现对外公开招标供应商，具体要求如下：</w:t>
      </w:r>
    </w:p>
    <w:p w14:paraId="544A20FF" w14:textId="77777777" w:rsidR="00EC73A1" w:rsidRDefault="00000000">
      <w:pPr>
        <w:tabs>
          <w:tab w:val="left" w:pos="0"/>
        </w:tabs>
        <w:adjustRightInd w:val="0"/>
        <w:snapToGrid w:val="0"/>
        <w:spacing w:beforeLines="100" w:before="240" w:afterLines="100" w:after="240" w:line="520" w:lineRule="exact"/>
        <w:rPr>
          <w:rFonts w:ascii="宋体" w:eastAsia="宋体" w:hAnsi="宋体" w:cs="Times New Roman"/>
          <w:b/>
          <w:bCs/>
          <w:sz w:val="28"/>
          <w:szCs w:val="28"/>
        </w:rPr>
      </w:pPr>
      <w:r>
        <w:rPr>
          <w:rFonts w:ascii="宋体" w:eastAsia="宋体" w:hAnsi="宋体" w:cs="Times New Roman" w:hint="eastAsia"/>
          <w:b/>
          <w:bCs/>
          <w:sz w:val="28"/>
          <w:szCs w:val="28"/>
        </w:rPr>
        <w:t>一、招标内容</w:t>
      </w:r>
    </w:p>
    <w:p w14:paraId="3AE0A65C" w14:textId="77777777" w:rsidR="00EC73A1" w:rsidRDefault="00000000">
      <w:pPr>
        <w:tabs>
          <w:tab w:val="left" w:pos="0"/>
        </w:tabs>
        <w:adjustRightInd w:val="0"/>
        <w:snapToGrid w:val="0"/>
        <w:spacing w:beforeLines="100" w:before="240" w:afterLines="100" w:after="240"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菏泽市职教园东区网络中心机房软件系统防火墙升级改造项目。</w:t>
      </w:r>
    </w:p>
    <w:p w14:paraId="575AFB73" w14:textId="77777777" w:rsidR="00EC73A1" w:rsidRDefault="00000000">
      <w:pPr>
        <w:tabs>
          <w:tab w:val="left" w:pos="0"/>
        </w:tabs>
        <w:adjustRightInd w:val="0"/>
        <w:snapToGrid w:val="0"/>
        <w:spacing w:beforeLines="100" w:before="240" w:afterLines="100" w:after="240" w:line="520" w:lineRule="exact"/>
        <w:rPr>
          <w:rFonts w:ascii="宋体" w:eastAsia="宋体" w:hAnsi="宋体" w:cs="Times New Roman"/>
          <w:b/>
          <w:bCs/>
          <w:sz w:val="28"/>
          <w:szCs w:val="28"/>
        </w:rPr>
      </w:pPr>
      <w:r>
        <w:rPr>
          <w:rFonts w:ascii="宋体" w:eastAsia="宋体" w:hAnsi="宋体" w:cs="Times New Roman" w:hint="eastAsia"/>
          <w:b/>
          <w:bCs/>
          <w:sz w:val="28"/>
          <w:szCs w:val="28"/>
        </w:rPr>
        <w:t>二、招标要求</w:t>
      </w:r>
    </w:p>
    <w:p w14:paraId="586D576C"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 投标人必须具有独立法人资格，并具备相应的经营范围；</w:t>
      </w:r>
    </w:p>
    <w:p w14:paraId="75BFB29B"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 投标人必须具备相应的资质，包括但不限于网络安全认证、信息安全管理体系认证等；</w:t>
      </w:r>
    </w:p>
    <w:p w14:paraId="5633E57C"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3. 投标人必须具有类似项目的成功案例，能够提供相关的技术方案和实施经验；</w:t>
      </w:r>
    </w:p>
    <w:p w14:paraId="1FF7A595"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4. 投标人必须能够提供高质量的售后服务和技术支持，保证项目顺利实施和运行；</w:t>
      </w:r>
    </w:p>
    <w:p w14:paraId="7A980F4E"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5. 投标人必须能够按照合同要求及时履行。</w:t>
      </w:r>
    </w:p>
    <w:p w14:paraId="36901CCC" w14:textId="77777777" w:rsidR="00EC73A1" w:rsidRDefault="00000000">
      <w:pPr>
        <w:tabs>
          <w:tab w:val="left" w:pos="0"/>
        </w:tabs>
        <w:adjustRightInd w:val="0"/>
        <w:snapToGrid w:val="0"/>
        <w:spacing w:beforeLines="100" w:before="240" w:afterLines="100" w:after="240" w:line="520" w:lineRule="exact"/>
        <w:rPr>
          <w:rFonts w:ascii="宋体" w:eastAsia="宋体" w:hAnsi="宋体" w:cs="Times New Roman"/>
          <w:b/>
          <w:bCs/>
          <w:sz w:val="28"/>
          <w:szCs w:val="28"/>
        </w:rPr>
      </w:pPr>
      <w:r>
        <w:rPr>
          <w:rFonts w:ascii="宋体" w:eastAsia="宋体" w:hAnsi="宋体" w:cs="Times New Roman" w:hint="eastAsia"/>
          <w:b/>
          <w:bCs/>
          <w:sz w:val="28"/>
          <w:szCs w:val="28"/>
        </w:rPr>
        <w:t>三、招标文件要求</w:t>
      </w:r>
    </w:p>
    <w:p w14:paraId="51AD8285"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 投标文件必须包括公司简介、资质证书、经营业绩、技术方案、售后服务方案等内容；</w:t>
      </w:r>
    </w:p>
    <w:p w14:paraId="0874FBF1"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 投标文件必须按照菏泽市政府采购中心要求编制，包括封面、目录、页码、装订等；</w:t>
      </w:r>
    </w:p>
    <w:p w14:paraId="0AF1F4F1"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3. 投标文件必须于发布之日起5日内递交至菏泽市职业教育园区菏泽技师学院图书楼3楼325号信息中心，逾期不予受理。</w:t>
      </w:r>
    </w:p>
    <w:p w14:paraId="7F4E715A" w14:textId="77777777" w:rsidR="00EC73A1" w:rsidRDefault="00000000">
      <w:pPr>
        <w:tabs>
          <w:tab w:val="left" w:pos="0"/>
        </w:tabs>
        <w:adjustRightInd w:val="0"/>
        <w:snapToGrid w:val="0"/>
        <w:spacing w:beforeLines="100" w:before="240" w:afterLines="100" w:after="240" w:line="520" w:lineRule="exact"/>
        <w:rPr>
          <w:rFonts w:ascii="宋体" w:eastAsia="宋体" w:hAnsi="宋体" w:cs="Times New Roman"/>
          <w:b/>
          <w:bCs/>
          <w:sz w:val="28"/>
          <w:szCs w:val="28"/>
        </w:rPr>
      </w:pPr>
      <w:r>
        <w:rPr>
          <w:rFonts w:ascii="宋体" w:eastAsia="宋体" w:hAnsi="宋体" w:cs="Times New Roman" w:hint="eastAsia"/>
          <w:b/>
          <w:bCs/>
          <w:sz w:val="28"/>
          <w:szCs w:val="28"/>
        </w:rPr>
        <w:lastRenderedPageBreak/>
        <w:t>四、评标办法</w:t>
      </w:r>
    </w:p>
    <w:p w14:paraId="7F5F858C" w14:textId="77777777" w:rsidR="00EC73A1" w:rsidRDefault="00000000">
      <w:pPr>
        <w:tabs>
          <w:tab w:val="left" w:pos="0"/>
        </w:tabs>
        <w:adjustRightInd w:val="0"/>
        <w:snapToGrid w:val="0"/>
        <w:spacing w:beforeLines="100" w:before="240" w:afterLines="100" w:after="240"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本次评标采用综合评分法，包括技术方案、价格、服务等因素。评标过程中，将对投标人的资质、业绩、技术能力、服务保障等方面进行全面评估，以确定最符合要求的供应商。</w:t>
      </w:r>
    </w:p>
    <w:p w14:paraId="0E9355CE" w14:textId="77777777" w:rsidR="00EC73A1" w:rsidRDefault="00000000">
      <w:pPr>
        <w:tabs>
          <w:tab w:val="left" w:pos="0"/>
        </w:tabs>
        <w:adjustRightInd w:val="0"/>
        <w:snapToGrid w:val="0"/>
        <w:spacing w:beforeLines="100" w:before="240" w:afterLines="100" w:after="240" w:line="520" w:lineRule="exact"/>
        <w:rPr>
          <w:rFonts w:ascii="宋体" w:eastAsia="宋体" w:hAnsi="宋体" w:cs="Times New Roman"/>
          <w:b/>
          <w:bCs/>
          <w:sz w:val="28"/>
          <w:szCs w:val="28"/>
        </w:rPr>
      </w:pPr>
      <w:r>
        <w:rPr>
          <w:rFonts w:ascii="宋体" w:eastAsia="宋体" w:hAnsi="宋体" w:cs="Times New Roman" w:hint="eastAsia"/>
          <w:b/>
          <w:bCs/>
          <w:sz w:val="28"/>
          <w:szCs w:val="28"/>
        </w:rPr>
        <w:t>五、联系方式</w:t>
      </w:r>
    </w:p>
    <w:p w14:paraId="454F82BF"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如有任何疑问或需要进一步了解相关信息，请联系采购方工作人员。联系方式如下：</w:t>
      </w:r>
    </w:p>
    <w:p w14:paraId="1657BB19"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联系人：王老师</w:t>
      </w:r>
    </w:p>
    <w:p w14:paraId="3EB15C2A" w14:textId="77777777" w:rsidR="00EC73A1" w:rsidRDefault="00000000">
      <w:pPr>
        <w:tabs>
          <w:tab w:val="left" w:pos="0"/>
        </w:tabs>
        <w:adjustRightInd w:val="0"/>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电话：0530-5666879/15609237220</w:t>
      </w:r>
    </w:p>
    <w:p w14:paraId="352985EF" w14:textId="77777777" w:rsidR="00EC73A1" w:rsidRDefault="00000000">
      <w:pPr>
        <w:tabs>
          <w:tab w:val="left" w:pos="0"/>
        </w:tabs>
        <w:adjustRightInd w:val="0"/>
        <w:snapToGrid w:val="0"/>
        <w:spacing w:beforeLines="100" w:before="240" w:afterLines="100" w:after="240" w:line="520" w:lineRule="exact"/>
        <w:rPr>
          <w:rFonts w:ascii="宋体" w:eastAsia="宋体" w:hAnsi="宋体" w:cs="Times New Roman"/>
          <w:b/>
          <w:bCs/>
          <w:sz w:val="28"/>
          <w:szCs w:val="28"/>
        </w:rPr>
      </w:pPr>
      <w:r>
        <w:rPr>
          <w:rFonts w:ascii="宋体" w:eastAsia="宋体" w:hAnsi="宋体" w:cs="Times New Roman" w:hint="eastAsia"/>
          <w:b/>
          <w:bCs/>
          <w:sz w:val="28"/>
          <w:szCs w:val="28"/>
        </w:rPr>
        <w:t>六、技术要求</w:t>
      </w:r>
    </w:p>
    <w:p w14:paraId="1503F107" w14:textId="77777777" w:rsidR="00EC73A1" w:rsidRDefault="00000000">
      <w:pPr>
        <w:spacing w:line="520" w:lineRule="exact"/>
        <w:ind w:firstLineChars="200" w:firstLine="560"/>
        <w:rPr>
          <w:rFonts w:ascii="Calibri" w:eastAsia="宋体" w:hAnsi="Calibri" w:cs="Times New Roman"/>
          <w:sz w:val="28"/>
          <w:szCs w:val="28"/>
        </w:rPr>
      </w:pPr>
      <w:r>
        <w:rPr>
          <w:rFonts w:ascii="Calibri" w:eastAsia="宋体" w:hAnsi="Calibri" w:cs="Times New Roman" w:hint="eastAsia"/>
          <w:sz w:val="28"/>
          <w:szCs w:val="28"/>
        </w:rPr>
        <w:t>（一）总则：</w:t>
      </w:r>
    </w:p>
    <w:p w14:paraId="53424CCB" w14:textId="77777777" w:rsidR="00EC73A1" w:rsidRDefault="00000000">
      <w:pPr>
        <w:spacing w:line="52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菏泽市职教园东区一套防火墙技术要求、</w:t>
      </w:r>
      <w:r>
        <w:rPr>
          <w:rFonts w:ascii="宋体" w:eastAsia="宋体" w:hAnsi="宋体" w:cs="Times New Roman" w:hint="eastAsia"/>
          <w:sz w:val="28"/>
          <w:szCs w:val="28"/>
        </w:rPr>
        <w:t>技术资料、售后服务等方面的具体事宜技术协议需求如下</w:t>
      </w:r>
      <w:r>
        <w:rPr>
          <w:rFonts w:ascii="宋体" w:eastAsia="宋体" w:hAnsi="宋体" w:cs="宋体" w:hint="eastAsia"/>
          <w:sz w:val="28"/>
          <w:szCs w:val="28"/>
        </w:rPr>
        <w:t>：</w:t>
      </w:r>
    </w:p>
    <w:p w14:paraId="3188EAE1" w14:textId="77777777" w:rsidR="00EC73A1" w:rsidRDefault="00000000">
      <w:pPr>
        <w:spacing w:line="520" w:lineRule="exact"/>
        <w:ind w:left="1" w:rightChars="15" w:right="31" w:firstLineChars="200" w:firstLine="560"/>
        <w:rPr>
          <w:rFonts w:ascii="宋体" w:eastAsia="宋体" w:hAnsi="宋体" w:cs="宋体"/>
          <w:sz w:val="28"/>
          <w:szCs w:val="28"/>
        </w:rPr>
      </w:pPr>
      <w:r>
        <w:rPr>
          <w:rFonts w:ascii="宋体" w:eastAsia="宋体" w:hAnsi="宋体" w:cs="宋体" w:hint="eastAsia"/>
          <w:sz w:val="28"/>
          <w:szCs w:val="28"/>
        </w:rPr>
        <w:t>1、本技术协议提出的是最低限度的技术要求，并未约定所有的技术要求和适用标准，供方应承诺提供一套满足本技术协议和所列标准要求的最新产品及其相应配套服务，</w:t>
      </w:r>
      <w:r>
        <w:rPr>
          <w:rFonts w:ascii="宋体" w:eastAsia="宋体" w:hAnsi="宋体" w:cs="Times New Roman" w:hint="eastAsia"/>
          <w:sz w:val="28"/>
          <w:szCs w:val="28"/>
        </w:rPr>
        <w:t>除非另有规定，设备的设计一律采用国标单位制；供方应提供高质量、成熟可靠，</w:t>
      </w:r>
      <w:r>
        <w:rPr>
          <w:rFonts w:ascii="宋体" w:eastAsia="宋体" w:hAnsi="宋体" w:cs="宋体" w:hint="eastAsia"/>
          <w:sz w:val="28"/>
          <w:szCs w:val="28"/>
        </w:rPr>
        <w:t>必须满足其使用要求。</w:t>
      </w:r>
    </w:p>
    <w:p w14:paraId="6CA77920" w14:textId="77777777" w:rsidR="00EC73A1" w:rsidRDefault="00000000">
      <w:pPr>
        <w:snapToGrid w:val="0"/>
        <w:spacing w:line="520" w:lineRule="exact"/>
        <w:ind w:firstLineChars="200" w:firstLine="560"/>
        <w:rPr>
          <w:rFonts w:ascii="宋体" w:eastAsia="宋体" w:hAnsi="宋体" w:cs="宋体"/>
          <w:sz w:val="28"/>
          <w:szCs w:val="28"/>
        </w:rPr>
      </w:pPr>
      <w:r>
        <w:rPr>
          <w:rFonts w:ascii="宋体" w:eastAsia="宋体" w:hAnsi="宋体" w:cs="宋体" w:hint="eastAsia"/>
          <w:sz w:val="28"/>
          <w:szCs w:val="28"/>
        </w:rPr>
        <w:t>2、本技术协议书中的要求以及其它相关标准作为此次采购的依据，</w:t>
      </w:r>
      <w:r>
        <w:rPr>
          <w:rFonts w:ascii="宋体" w:eastAsia="宋体" w:hAnsi="宋体" w:cs="宋体" w:hint="eastAsia"/>
          <w:color w:val="FF0000"/>
          <w:sz w:val="28"/>
          <w:szCs w:val="28"/>
        </w:rPr>
        <w:t>供方应保证按国家行业标准及使用性能</w:t>
      </w:r>
      <w:r>
        <w:rPr>
          <w:rFonts w:ascii="宋体" w:eastAsia="宋体" w:hAnsi="宋体" w:cs="宋体" w:hint="eastAsia"/>
          <w:sz w:val="28"/>
          <w:szCs w:val="28"/>
        </w:rPr>
        <w:t>。</w:t>
      </w:r>
    </w:p>
    <w:p w14:paraId="6FDEB416" w14:textId="77777777" w:rsidR="00EC73A1" w:rsidRDefault="00000000">
      <w:pPr>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3、如未对本技术协议提出偏差，需方将认为供方提供的成套设备符合本技术协议和标准的要求。</w:t>
      </w:r>
    </w:p>
    <w:p w14:paraId="4DAFACBF" w14:textId="77777777" w:rsidR="00EC73A1" w:rsidRDefault="00000000">
      <w:pPr>
        <w:snapToGrid w:val="0"/>
        <w:spacing w:line="520" w:lineRule="exact"/>
        <w:ind w:firstLineChars="200" w:firstLine="560"/>
        <w:rPr>
          <w:rFonts w:ascii="宋体" w:eastAsia="宋体" w:hAnsi="宋体" w:cs="宋体"/>
          <w:sz w:val="28"/>
          <w:szCs w:val="28"/>
        </w:rPr>
      </w:pPr>
      <w:r>
        <w:rPr>
          <w:rFonts w:ascii="宋体" w:eastAsia="宋体" w:hAnsi="宋体" w:cs="宋体" w:hint="eastAsia"/>
          <w:sz w:val="28"/>
          <w:szCs w:val="28"/>
        </w:rPr>
        <w:t>4、本技术协议书与报价文件、澄清文件、商务合同具有同等法律效力，本技术协议书使用的标准如与供方所执行的标准及双方异议、未涉及之处，按较高较严的标准执行。</w:t>
      </w:r>
    </w:p>
    <w:p w14:paraId="678305DC" w14:textId="77777777" w:rsidR="00EC73A1" w:rsidRDefault="00000000">
      <w:pPr>
        <w:widowControl/>
        <w:spacing w:line="520" w:lineRule="exact"/>
        <w:ind w:firstLineChars="200" w:firstLine="560"/>
        <w:rPr>
          <w:rFonts w:ascii="宋体" w:eastAsia="宋体" w:hAnsi="宋体" w:cs="宋体"/>
          <w:sz w:val="28"/>
          <w:szCs w:val="28"/>
        </w:rPr>
      </w:pPr>
      <w:r>
        <w:rPr>
          <w:rFonts w:ascii="宋体" w:eastAsia="宋体" w:hAnsi="宋体" w:cs="Times New Roman" w:hint="eastAsia"/>
          <w:sz w:val="28"/>
          <w:szCs w:val="28"/>
        </w:rPr>
        <w:lastRenderedPageBreak/>
        <w:t>5、该成套设备所采用的全部专利涉及费用均被认为已包含在成套报价中，供方应保证</w:t>
      </w:r>
      <w:r>
        <w:rPr>
          <w:rFonts w:ascii="宋体" w:eastAsia="宋体" w:hAnsi="宋体" w:cs="宋体" w:hint="eastAsia"/>
          <w:sz w:val="28"/>
          <w:szCs w:val="28"/>
        </w:rPr>
        <w:t>承诺该套成套采用的是成熟的</w:t>
      </w:r>
      <w:r>
        <w:rPr>
          <w:rFonts w:ascii="宋体" w:eastAsia="宋体" w:hAnsi="宋体" w:cs="Times New Roman" w:hint="eastAsia"/>
          <w:sz w:val="28"/>
          <w:szCs w:val="28"/>
        </w:rPr>
        <w:t>自有技术，不涉及第三方专利权纠纷，需方概不承担有关该成套设备专利的一切责任，如有相关侵权行为均与需方无一切法律及经济责任关系，由此造成的一切损失完全由供方承担。</w:t>
      </w:r>
    </w:p>
    <w:p w14:paraId="2884A709" w14:textId="77777777" w:rsidR="00EC73A1" w:rsidRDefault="00000000">
      <w:pPr>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6、在签订合同协议之后，需方有权提出因规范标准和规程发生变化而产生的一些补充要求，具体项目由供需双方共同商定；未尽事宜双方友好协商解决。</w:t>
      </w:r>
    </w:p>
    <w:p w14:paraId="0408BD25" w14:textId="77777777" w:rsidR="00EC73A1" w:rsidRDefault="00000000">
      <w:pPr>
        <w:snapToGrid w:val="0"/>
        <w:spacing w:line="52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7、未经需方书面认可，供方不得将合同设备转包给第三方实施，否则需方有权停止合同，由此造成的一切损失，完全由供方承担。</w:t>
      </w:r>
    </w:p>
    <w:p w14:paraId="5E4CE2BF"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（二）技术需求如下：</w:t>
      </w:r>
    </w:p>
    <w:p w14:paraId="46A39CF7"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1、下一代防火墙服务：提供本地网络硬件形式的防火墙防护支持服务，通过设备支持精准的应用访问控制策略，全局感知应用层威胁，实现应用层安全防护。</w:t>
      </w:r>
    </w:p>
    <w:p w14:paraId="0DC998EF"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2、入侵防御服务：提供本地网络硬件形式的恶意入侵检测和防御阻断服务，通过基于流量行为和特征的匹配机制，识别常见的网络攻击行为并进行策略防护。</w:t>
      </w:r>
    </w:p>
    <w:p w14:paraId="09FCBD34"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3、防病毒服务：提供本地网络硬件形式的网络病毒检测和阻断服务，支持常见蠕虫木马、恶意文件、非法网站的识别和防护。</w:t>
      </w:r>
    </w:p>
    <w:p w14:paraId="3FF32618"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4、防挖矿服务：提供挖矿检监测及预防功能；</w:t>
      </w:r>
    </w:p>
    <w:p w14:paraId="6E093504"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5、远程安全支持服务：通过用户安全自服务平台，提供云端安全分析报表推送服务。提供远程协助的方式为提供网络安全方面的咨询、评估和安全威胁定位等服务。</w:t>
      </w:r>
    </w:p>
    <w:p w14:paraId="7243D389"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6、每周/月定期输出安全防护周报，用于查看网络安全防御情况；</w:t>
      </w:r>
    </w:p>
    <w:p w14:paraId="2F171CFE"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7、设备三年内免费升级病毒库、特征库免费更新，病毒库、特征库，软件系统更新时不影响设备正常运转；</w:t>
      </w:r>
    </w:p>
    <w:p w14:paraId="24BFF73E" w14:textId="77777777" w:rsidR="00EC73A1" w:rsidRDefault="00000000">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（三）主要技术规范如下：</w:t>
      </w:r>
    </w:p>
    <w:p w14:paraId="737CDD7D"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1、千兆电口≥16个，万兆光口≥4个，网络层吞吐量≥20Gbps，应用层</w:t>
      </w:r>
      <w:r>
        <w:rPr>
          <w:rFonts w:ascii="宋体" w:eastAsia="宋体" w:hAnsi="宋体" w:cs="仿宋" w:hint="eastAsia"/>
          <w:sz w:val="28"/>
          <w:szCs w:val="28"/>
        </w:rPr>
        <w:lastRenderedPageBreak/>
        <w:t>吞吐量≥9Gbps，并发连接数≥200万，新建连接数≥9万，规格：1U，电源：单电源。</w:t>
      </w:r>
    </w:p>
    <w:p w14:paraId="1849E7B1"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2、支持路由、网桥、单臂、旁路、虚拟网线以及混合模式部署，支持链路聚合和端口联动功能，支持802.1Q VLAN Trunk、access接口，VLAN三层接口，子接口、GRE隧道，支持IPSec VPN，SSL VPN，GRE，GRE over OSPF，GRE over IPSec等VPN接入方式。</w:t>
      </w:r>
    </w:p>
    <w:p w14:paraId="664A3EB3"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3、支持IPv4／v6 NAT地址转换，支持源地址转换，目的地址转换和双向地址转换，支持针对源IP、目的IP和双向IP连接数控制，支持NAT64、NAT46 地址转换。</w:t>
      </w:r>
    </w:p>
    <w:p w14:paraId="49544B38"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4、支持基于五元组的访问功能，在重点保护期间，能够通过国家地域的方式进行访问控制；访问控制规则支持模拟策略匹配，输入源目的IP、端口、协议五元组信息，模拟策略匹配方式，给出最可能的匹配结果，方便排查故障，或环境部署前的调试。</w:t>
      </w:r>
    </w:p>
    <w:p w14:paraId="41D6764A"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5、支持对不少于9880种应用的识别和控制，应用类型包括游戏、购物、图书百科、工作招聘、P2P下载、聊天工具、旅游出行、股票软件等类型应用进行检测与控制。（需提供产品功能截图证明并加盖厂商公章）</w:t>
      </w:r>
    </w:p>
    <w:p w14:paraId="5B84D1A5"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6、为保障各地域的访问管控能力，支持基于地区维度设置流控策略，实现多区域流量批量快速管控功能。所投产品必须提供具备CMA认证的第三方权威机构关于“国家/地区的流量管理”功能项的产品检测报告。（需提供相关证明材料并加盖厂商公章）</w:t>
      </w:r>
    </w:p>
    <w:p w14:paraId="116B7BD7"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7、为保障病毒防护效果，支持对多重压缩文件的病毒检测能力，支持不小于12层压缩文件病毒检测与处置。（需提供产品功能截图证明并加盖厂商公章）</w:t>
      </w:r>
    </w:p>
    <w:p w14:paraId="637A92DD"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8、支持僵尸主机检测功能，产品预定义特征库超过110万种，可识别主机的异常外联行为。</w:t>
      </w:r>
    </w:p>
    <w:p w14:paraId="7061051E"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9、为避免单位业务遭受暴力破解、漏洞攻击等外部入侵攻击、防护常见应用服务和数据库软件的暴力破解，所投设备需具备独立的入侵防护漏洞规</w:t>
      </w:r>
      <w:r>
        <w:rPr>
          <w:rFonts w:ascii="宋体" w:eastAsia="宋体" w:hAnsi="宋体" w:cs="仿宋" w:hint="eastAsia"/>
          <w:sz w:val="28"/>
          <w:szCs w:val="28"/>
        </w:rPr>
        <w:lastRenderedPageBreak/>
        <w:t>则特征库，同时保证入侵防护的实现效果，其特征总数至少7000条以上。</w:t>
      </w:r>
    </w:p>
    <w:p w14:paraId="550E521F" w14:textId="77777777" w:rsidR="00EC73A1" w:rsidRDefault="00000000">
      <w:pPr>
        <w:spacing w:line="520" w:lineRule="exact"/>
        <w:ind w:right="108" w:firstLineChars="200" w:firstLine="560"/>
        <w:rPr>
          <w:rFonts w:ascii="宋体" w:eastAsia="宋体" w:hAnsi="宋体" w:cs="仿宋"/>
          <w:sz w:val="28"/>
          <w:szCs w:val="28"/>
        </w:rPr>
      </w:pPr>
      <w:r>
        <w:rPr>
          <w:rFonts w:ascii="宋体" w:eastAsia="宋体" w:hAnsi="宋体" w:cs="仿宋" w:hint="eastAsia"/>
          <w:sz w:val="28"/>
          <w:szCs w:val="28"/>
        </w:rPr>
        <w:t>10、为避免单位遭到挖矿病毒攻击，支持CC通信检测防护，支持CC攻击防护功能。</w:t>
      </w:r>
    </w:p>
    <w:p w14:paraId="217163C7" w14:textId="77777777" w:rsidR="00EC73A1" w:rsidRDefault="00000000">
      <w:pPr>
        <w:spacing w:line="520" w:lineRule="exact"/>
        <w:ind w:right="108" w:firstLineChars="200" w:firstLine="560"/>
        <w:rPr>
          <w:rFonts w:ascii="宋体" w:eastAsia="宋体" w:hAnsi="宋体" w:cs="宋体"/>
          <w:kern w:val="0"/>
          <w:sz w:val="28"/>
          <w:szCs w:val="28"/>
        </w:rPr>
      </w:pPr>
      <w:r>
        <w:rPr>
          <w:rFonts w:ascii="宋体" w:eastAsia="宋体" w:hAnsi="宋体" w:cs="仿宋" w:hint="eastAsia"/>
          <w:sz w:val="28"/>
          <w:szCs w:val="28"/>
        </w:rPr>
        <w:t>11、三年产品质保，软件以及病毒库升级。</w:t>
      </w:r>
    </w:p>
    <w:p w14:paraId="160D8E14" w14:textId="77777777" w:rsidR="00EC73A1" w:rsidRDefault="00000000">
      <w:pPr>
        <w:spacing w:line="520" w:lineRule="exact"/>
        <w:rPr>
          <w:rFonts w:ascii="宋体" w:eastAsia="宋体" w:hAnsi="宋体" w:cs="Times New Roman"/>
          <w:sz w:val="28"/>
          <w:szCs w:val="28"/>
        </w:rPr>
      </w:pPr>
      <w:r>
        <w:rPr>
          <w:rFonts w:ascii="宋体" w:eastAsia="宋体" w:hAnsi="宋体" w:cs="Times New Roman" w:hint="eastAsia"/>
          <w:sz w:val="28"/>
          <w:szCs w:val="28"/>
        </w:rPr>
        <w:t>（四）产品安装质保要求：</w:t>
      </w:r>
    </w:p>
    <w:p w14:paraId="2110655E" w14:textId="77777777" w:rsidR="00EC73A1" w:rsidRDefault="00000000">
      <w:pPr>
        <w:widowControl/>
        <w:snapToGrid w:val="0"/>
        <w:spacing w:line="52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1、供货商负责防火墙安装调试，安装调试过程不得超过5天，需在非工作时间进行，不得影响甲方正常业务运转。</w:t>
      </w:r>
    </w:p>
    <w:p w14:paraId="0D0D814C" w14:textId="77777777" w:rsidR="00EC73A1" w:rsidRDefault="00000000">
      <w:pPr>
        <w:widowControl/>
        <w:snapToGrid w:val="0"/>
        <w:spacing w:line="52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2、硬件质保不低于3年，</w:t>
      </w:r>
      <w:r>
        <w:rPr>
          <w:rFonts w:ascii="宋体" w:eastAsia="宋体" w:hAnsi="宋体" w:cs="宋体" w:hint="eastAsia"/>
          <w:kern w:val="0"/>
          <w:sz w:val="28"/>
          <w:szCs w:val="28"/>
          <w:highlight w:val="yellow"/>
        </w:rPr>
        <w:t>供货商在质保期内对硬件提供维修服务，如客户有需要，可提供测试样机临时替换，以满足客户业务正常进行。</w:t>
      </w:r>
      <w:r>
        <w:rPr>
          <w:rFonts w:ascii="宋体" w:eastAsia="宋体" w:hAnsi="宋体" w:cs="宋体" w:hint="eastAsia"/>
          <w:kern w:val="0"/>
          <w:sz w:val="28"/>
          <w:szCs w:val="28"/>
        </w:rPr>
        <w:t>全天候7×24小时的软件技术支持。</w:t>
      </w:r>
    </w:p>
    <w:p w14:paraId="5A25F249" w14:textId="77777777" w:rsidR="00EC73A1" w:rsidRDefault="00000000">
      <w:pPr>
        <w:widowControl/>
        <w:snapToGrid w:val="0"/>
        <w:spacing w:line="52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3、软件升级及相关授权服务不低于3年。</w:t>
      </w:r>
    </w:p>
    <w:p w14:paraId="7CCCC4C4" w14:textId="77777777" w:rsidR="00EC73A1" w:rsidRDefault="00000000">
      <w:pPr>
        <w:spacing w:line="520" w:lineRule="exact"/>
        <w:ind w:firstLineChars="200" w:firstLine="560"/>
        <w:rPr>
          <w:rFonts w:ascii="宋体" w:eastAsia="宋体" w:hAnsi="宋体" w:cs="宋体"/>
          <w:sz w:val="28"/>
          <w:szCs w:val="28"/>
        </w:rPr>
      </w:pPr>
      <w:r>
        <w:rPr>
          <w:rFonts w:ascii="宋体" w:eastAsia="宋体" w:hAnsi="宋体" w:cs="宋体" w:hint="eastAsia"/>
          <w:sz w:val="28"/>
          <w:szCs w:val="28"/>
        </w:rPr>
        <w:t>4、具体安装时间，由需方具备条件。</w:t>
      </w:r>
    </w:p>
    <w:p w14:paraId="56A582C5" w14:textId="77777777" w:rsidR="00EC73A1" w:rsidRDefault="00000000">
      <w:pPr>
        <w:spacing w:line="520" w:lineRule="exact"/>
        <w:ind w:firstLineChars="200" w:firstLine="560"/>
        <w:rPr>
          <w:rFonts w:ascii="宋体" w:eastAsia="宋体" w:hAnsi="宋体" w:cs="宋体"/>
          <w:color w:val="353535"/>
          <w:kern w:val="0"/>
          <w:sz w:val="28"/>
          <w:szCs w:val="28"/>
          <w:highlight w:val="yellow"/>
        </w:rPr>
      </w:pPr>
      <w:r>
        <w:rPr>
          <w:rFonts w:ascii="宋体" w:eastAsia="宋体" w:hAnsi="宋体" w:cs="宋体" w:hint="eastAsia"/>
          <w:color w:val="353535"/>
          <w:kern w:val="0"/>
          <w:sz w:val="28"/>
          <w:szCs w:val="28"/>
          <w:highlight w:val="yellow"/>
        </w:rPr>
        <w:t>5、供方对施工工地的安全负有安全责任，如因供方原因出现的安全事故，由供方承担。</w:t>
      </w:r>
    </w:p>
    <w:p w14:paraId="2696AB3E" w14:textId="77777777" w:rsidR="00EC73A1" w:rsidRDefault="00000000">
      <w:pPr>
        <w:adjustRightInd w:val="0"/>
        <w:snapToGrid w:val="0"/>
        <w:spacing w:beforeLines="50" w:before="120" w:line="360" w:lineRule="auto"/>
        <w:rPr>
          <w:rFonts w:ascii="宋体" w:eastAsia="宋体" w:hAnsi="宋体" w:cs="Times New Roman"/>
          <w:sz w:val="28"/>
          <w:szCs w:val="28"/>
        </w:rPr>
      </w:pPr>
      <w:r>
        <w:rPr>
          <w:rFonts w:ascii="宋体" w:eastAsia="宋体" w:hAnsi="宋体" w:cs="Times New Roman" w:hint="eastAsia"/>
          <w:sz w:val="28"/>
          <w:szCs w:val="28"/>
        </w:rPr>
        <w:t>七、本项目最高限价：22万元</w:t>
      </w:r>
    </w:p>
    <w:p w14:paraId="7D341DAC" w14:textId="77777777" w:rsidR="00EC73A1" w:rsidRDefault="00EC73A1">
      <w:pPr>
        <w:adjustRightInd w:val="0"/>
        <w:snapToGrid w:val="0"/>
        <w:spacing w:beforeLines="50" w:before="120" w:line="360" w:lineRule="auto"/>
        <w:jc w:val="right"/>
        <w:rPr>
          <w:rFonts w:ascii="宋体" w:eastAsia="宋体" w:hAnsi="宋体" w:cs="Times New Roman"/>
          <w:sz w:val="28"/>
          <w:szCs w:val="28"/>
        </w:rPr>
      </w:pPr>
    </w:p>
    <w:p w14:paraId="53633982" w14:textId="77777777" w:rsidR="00EC73A1" w:rsidRDefault="00000000">
      <w:pPr>
        <w:adjustRightInd w:val="0"/>
        <w:snapToGrid w:val="0"/>
        <w:spacing w:beforeLines="50" w:before="120" w:line="360" w:lineRule="auto"/>
        <w:jc w:val="right"/>
        <w:rPr>
          <w:rFonts w:ascii="宋体" w:eastAsia="宋体" w:hAnsi="宋体" w:cs="Times New Roman"/>
          <w:sz w:val="28"/>
          <w:szCs w:val="28"/>
        </w:rPr>
      </w:pPr>
      <w:r>
        <w:rPr>
          <w:rFonts w:ascii="宋体" w:eastAsia="宋体" w:hAnsi="宋体" w:cs="Times New Roman" w:hint="eastAsia"/>
          <w:sz w:val="28"/>
          <w:szCs w:val="28"/>
        </w:rPr>
        <w:t>2023年 11 月 23日</w:t>
      </w:r>
    </w:p>
    <w:p w14:paraId="20A20AF8" w14:textId="77777777" w:rsidR="00EC73A1" w:rsidRDefault="00EC73A1">
      <w:pPr>
        <w:adjustRightInd w:val="0"/>
        <w:snapToGrid w:val="0"/>
        <w:spacing w:beforeLines="50" w:before="120" w:line="360" w:lineRule="auto"/>
        <w:jc w:val="left"/>
        <w:rPr>
          <w:rFonts w:ascii="宋体" w:eastAsia="宋体" w:hAnsi="宋体" w:cs="Times New Roman"/>
          <w:b/>
          <w:bCs/>
          <w:sz w:val="24"/>
          <w:szCs w:val="24"/>
        </w:rPr>
      </w:pPr>
    </w:p>
    <w:p w14:paraId="038B7E4D" w14:textId="77777777" w:rsidR="00EC73A1" w:rsidRDefault="00EC73A1">
      <w:pPr>
        <w:adjustRightInd w:val="0"/>
        <w:snapToGrid w:val="0"/>
        <w:spacing w:beforeLines="50" w:before="120" w:line="360" w:lineRule="auto"/>
        <w:jc w:val="left"/>
        <w:rPr>
          <w:rFonts w:ascii="宋体" w:eastAsia="宋体" w:hAnsi="宋体" w:cs="Times New Roman"/>
          <w:b/>
          <w:bCs/>
          <w:sz w:val="24"/>
          <w:szCs w:val="24"/>
        </w:rPr>
        <w:sectPr w:rsidR="00EC73A1">
          <w:headerReference w:type="default" r:id="rId6"/>
          <w:footerReference w:type="even" r:id="rId7"/>
          <w:footerReference w:type="default" r:id="rId8"/>
          <w:footerReference w:type="first" r:id="rId9"/>
          <w:pgSz w:w="11906" w:h="16838"/>
          <w:pgMar w:top="1418" w:right="1134" w:bottom="1134" w:left="1418" w:header="851" w:footer="284" w:gutter="0"/>
          <w:pgNumType w:start="1"/>
          <w:cols w:space="720"/>
          <w:titlePg/>
          <w:docGrid w:linePitch="312"/>
        </w:sectPr>
      </w:pPr>
    </w:p>
    <w:p w14:paraId="1978F7EA" w14:textId="77777777" w:rsidR="00EC73A1" w:rsidRDefault="00000000">
      <w:pPr>
        <w:adjustRightInd w:val="0"/>
        <w:snapToGrid w:val="0"/>
        <w:spacing w:beforeLines="50" w:before="120" w:line="360" w:lineRule="auto"/>
        <w:ind w:firstLineChars="600" w:firstLine="1928"/>
        <w:jc w:val="left"/>
        <w:rPr>
          <w:rFonts w:ascii="宋体" w:eastAsia="宋体" w:hAnsi="宋体" w:cs="Times New Roman"/>
          <w:b/>
          <w:bCs/>
          <w:sz w:val="32"/>
          <w:szCs w:val="32"/>
        </w:rPr>
      </w:pPr>
      <w:r>
        <w:rPr>
          <w:rFonts w:ascii="宋体" w:eastAsia="宋体" w:hAnsi="宋体" w:cs="Times New Roman" w:hint="eastAsia"/>
          <w:b/>
          <w:bCs/>
          <w:sz w:val="32"/>
          <w:szCs w:val="32"/>
        </w:rPr>
        <w:lastRenderedPageBreak/>
        <w:t>具体方案见下表：</w:t>
      </w:r>
    </w:p>
    <w:tbl>
      <w:tblPr>
        <w:tblW w:w="15616" w:type="dxa"/>
        <w:jc w:val="center"/>
        <w:tblLayout w:type="fixed"/>
        <w:tblLook w:val="04A0" w:firstRow="1" w:lastRow="0" w:firstColumn="1" w:lastColumn="0" w:noHBand="0" w:noVBand="1"/>
      </w:tblPr>
      <w:tblGrid>
        <w:gridCol w:w="796"/>
        <w:gridCol w:w="1717"/>
        <w:gridCol w:w="11717"/>
        <w:gridCol w:w="692"/>
        <w:gridCol w:w="694"/>
      </w:tblGrid>
      <w:tr w:rsidR="00EC73A1" w14:paraId="28D57602" w14:textId="77777777">
        <w:trPr>
          <w:trHeight w:val="444"/>
          <w:jc w:val="center"/>
        </w:trPr>
        <w:tc>
          <w:tcPr>
            <w:tcW w:w="121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CB785D" w14:textId="77777777" w:rsidR="00EC73A1" w:rsidRDefault="00000000">
            <w:pPr>
              <w:widowControl/>
              <w:jc w:val="left"/>
              <w:textAlignment w:val="center"/>
              <w:rPr>
                <w:rFonts w:ascii="宋体" w:eastAsia="宋体" w:hAnsi="宋体" w:cs="宋体"/>
                <w:b/>
                <w:bCs/>
                <w:color w:val="000000"/>
                <w:sz w:val="36"/>
                <w:szCs w:val="36"/>
              </w:rPr>
            </w:pPr>
            <w:r>
              <w:rPr>
                <w:rFonts w:ascii="宋体" w:eastAsia="宋体" w:hAnsi="宋体" w:cs="宋体" w:hint="eastAsia"/>
                <w:b/>
                <w:bCs/>
                <w:color w:val="000000"/>
                <w:kern w:val="0"/>
                <w:sz w:val="36"/>
                <w:szCs w:val="36"/>
                <w:lang w:bidi="ar"/>
              </w:rPr>
              <w:t>平台建设方案</w:t>
            </w:r>
          </w:p>
        </w:tc>
      </w:tr>
      <w:tr w:rsidR="00EC73A1" w14:paraId="0627BAE3" w14:textId="77777777">
        <w:trPr>
          <w:trHeight w:val="288"/>
          <w:jc w:val="center"/>
        </w:trPr>
        <w:tc>
          <w:tcPr>
            <w:tcW w:w="618" w:type="dxa"/>
            <w:tcBorders>
              <w:top w:val="single" w:sz="4" w:space="0" w:color="000000"/>
              <w:left w:val="single" w:sz="4" w:space="0" w:color="000000"/>
              <w:bottom w:val="single" w:sz="4" w:space="0" w:color="000000"/>
              <w:right w:val="single" w:sz="4" w:space="0" w:color="000000"/>
            </w:tcBorders>
            <w:shd w:val="clear" w:color="auto" w:fill="5B9BD5"/>
            <w:noWrap/>
            <w:vAlign w:val="center"/>
          </w:tcPr>
          <w:p w14:paraId="201CE59F" w14:textId="77777777" w:rsidR="00EC73A1" w:rsidRDefault="00000000">
            <w:pPr>
              <w:widowControl/>
              <w:jc w:val="left"/>
              <w:textAlignment w:val="center"/>
              <w:rPr>
                <w:rFonts w:ascii="宋体" w:eastAsia="宋体" w:hAnsi="宋体" w:cs="宋体"/>
                <w:b/>
                <w:bCs/>
                <w:color w:val="FFFFFF"/>
                <w:sz w:val="20"/>
                <w:szCs w:val="20"/>
              </w:rPr>
            </w:pPr>
            <w:r>
              <w:rPr>
                <w:rFonts w:ascii="宋体" w:eastAsia="宋体" w:hAnsi="宋体" w:cs="宋体" w:hint="eastAsia"/>
                <w:b/>
                <w:bCs/>
                <w:color w:val="FFFFFF"/>
                <w:kern w:val="0"/>
                <w:sz w:val="20"/>
                <w:szCs w:val="20"/>
                <w:lang w:bidi="ar"/>
              </w:rPr>
              <w:t>序号</w:t>
            </w:r>
          </w:p>
        </w:tc>
        <w:tc>
          <w:tcPr>
            <w:tcW w:w="133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FA1D5C3" w14:textId="77777777" w:rsidR="00EC73A1" w:rsidRDefault="00000000">
            <w:pPr>
              <w:widowControl/>
              <w:jc w:val="left"/>
              <w:textAlignment w:val="center"/>
              <w:rPr>
                <w:rFonts w:ascii="宋体" w:eastAsia="宋体" w:hAnsi="宋体" w:cs="宋体"/>
                <w:b/>
                <w:bCs/>
                <w:color w:val="FFFFFF"/>
                <w:sz w:val="20"/>
                <w:szCs w:val="20"/>
              </w:rPr>
            </w:pPr>
            <w:r>
              <w:rPr>
                <w:rFonts w:ascii="宋体" w:eastAsia="宋体" w:hAnsi="宋体" w:cs="宋体" w:hint="eastAsia"/>
                <w:b/>
                <w:bCs/>
                <w:color w:val="FFFFFF"/>
                <w:kern w:val="0"/>
                <w:sz w:val="20"/>
                <w:szCs w:val="20"/>
                <w:lang w:bidi="ar"/>
              </w:rPr>
              <w:t>产品线</w:t>
            </w:r>
          </w:p>
        </w:tc>
        <w:tc>
          <w:tcPr>
            <w:tcW w:w="910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E925AE1" w14:textId="77777777" w:rsidR="00EC73A1" w:rsidRDefault="00000000">
            <w:pPr>
              <w:widowControl/>
              <w:jc w:val="left"/>
              <w:textAlignment w:val="center"/>
              <w:rPr>
                <w:rFonts w:ascii="宋体" w:eastAsia="宋体" w:hAnsi="宋体" w:cs="宋体"/>
                <w:b/>
                <w:bCs/>
                <w:color w:val="FFFFFF"/>
                <w:sz w:val="20"/>
                <w:szCs w:val="20"/>
              </w:rPr>
            </w:pPr>
            <w:r>
              <w:rPr>
                <w:rFonts w:ascii="宋体" w:eastAsia="宋体" w:hAnsi="宋体" w:cs="宋体" w:hint="eastAsia"/>
                <w:b/>
                <w:bCs/>
                <w:color w:val="FFFFFF"/>
                <w:kern w:val="0"/>
                <w:sz w:val="20"/>
                <w:szCs w:val="20"/>
                <w:lang w:bidi="ar"/>
              </w:rPr>
              <w:t>产品说明</w:t>
            </w:r>
          </w:p>
        </w:tc>
        <w:tc>
          <w:tcPr>
            <w:tcW w:w="53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FB536B0" w14:textId="77777777" w:rsidR="00EC73A1" w:rsidRDefault="00000000">
            <w:pPr>
              <w:widowControl/>
              <w:jc w:val="left"/>
              <w:textAlignment w:val="center"/>
              <w:rPr>
                <w:rFonts w:ascii="宋体" w:eastAsia="宋体" w:hAnsi="宋体" w:cs="宋体"/>
                <w:b/>
                <w:bCs/>
                <w:color w:val="FFFFFF"/>
                <w:sz w:val="20"/>
                <w:szCs w:val="20"/>
              </w:rPr>
            </w:pPr>
            <w:r>
              <w:rPr>
                <w:rFonts w:ascii="宋体" w:eastAsia="宋体" w:hAnsi="宋体" w:cs="宋体" w:hint="eastAsia"/>
                <w:b/>
                <w:bCs/>
                <w:color w:val="FFFFFF"/>
                <w:kern w:val="0"/>
                <w:sz w:val="20"/>
                <w:szCs w:val="20"/>
                <w:lang w:bidi="ar"/>
              </w:rPr>
              <w:t>数量</w:t>
            </w:r>
          </w:p>
        </w:tc>
        <w:tc>
          <w:tcPr>
            <w:tcW w:w="539"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5FFECAE" w14:textId="77777777" w:rsidR="00EC73A1" w:rsidRDefault="00000000">
            <w:pPr>
              <w:widowControl/>
              <w:jc w:val="left"/>
              <w:textAlignment w:val="center"/>
              <w:rPr>
                <w:rFonts w:ascii="宋体" w:eastAsia="宋体" w:hAnsi="宋体" w:cs="宋体"/>
                <w:b/>
                <w:bCs/>
                <w:color w:val="FFFFFF"/>
                <w:sz w:val="20"/>
                <w:szCs w:val="20"/>
              </w:rPr>
            </w:pPr>
            <w:r>
              <w:rPr>
                <w:rFonts w:ascii="宋体" w:eastAsia="宋体" w:hAnsi="宋体" w:cs="宋体" w:hint="eastAsia"/>
                <w:b/>
                <w:bCs/>
                <w:color w:val="FFFFFF"/>
                <w:kern w:val="0"/>
                <w:sz w:val="20"/>
                <w:szCs w:val="20"/>
                <w:lang w:bidi="ar"/>
              </w:rPr>
              <w:t>单位</w:t>
            </w:r>
          </w:p>
        </w:tc>
      </w:tr>
      <w:tr w:rsidR="00EC73A1" w14:paraId="1C1B9F26" w14:textId="77777777">
        <w:trPr>
          <w:trHeight w:val="4700"/>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94A9E"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0530F"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防火墙</w:t>
            </w:r>
          </w:p>
        </w:tc>
        <w:tc>
          <w:tcPr>
            <w:tcW w:w="9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411C"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1、标准1U机架式设备，配置≥16个千兆电口，≥2个千兆光口，≥4个万兆光口。</w:t>
            </w:r>
            <w:r>
              <w:rPr>
                <w:rFonts w:ascii="宋体" w:eastAsia="宋体" w:hAnsi="宋体" w:cs="宋体" w:hint="eastAsia"/>
                <w:color w:val="000000"/>
                <w:kern w:val="0"/>
                <w:sz w:val="22"/>
                <w:lang w:bidi="ar"/>
              </w:rPr>
              <w:br/>
              <w:t>2、设备吞吐量≥20G，最大并发连接数≥200万，每秒新建连接（TCP/UDP完整连接）数≥9万。</w:t>
            </w:r>
            <w:r>
              <w:rPr>
                <w:rFonts w:ascii="宋体" w:eastAsia="宋体" w:hAnsi="宋体" w:cs="宋体" w:hint="eastAsia"/>
                <w:color w:val="000000"/>
                <w:kern w:val="0"/>
                <w:sz w:val="22"/>
                <w:lang w:bidi="ar"/>
              </w:rPr>
              <w:br/>
              <w:t>3、支持ipsecvpn、SSL VPN，支持国密、其他商业加密。</w:t>
            </w:r>
            <w:r>
              <w:rPr>
                <w:rFonts w:ascii="宋体" w:eastAsia="宋体" w:hAnsi="宋体" w:cs="宋体" w:hint="eastAsia"/>
                <w:color w:val="000000"/>
                <w:kern w:val="0"/>
                <w:sz w:val="22"/>
                <w:lang w:bidi="ar"/>
              </w:rPr>
              <w:br/>
              <w:t>4、支持IPv4／v6 NAT地址转换，支持源地址转换，目的地址转换和双向地址转换，支持针对源IP、目的IP和双向IP连接数控制，支持NAT64、NAT46 地址转换。</w:t>
            </w:r>
            <w:r>
              <w:rPr>
                <w:rFonts w:ascii="宋体" w:eastAsia="宋体" w:hAnsi="宋体" w:cs="宋体" w:hint="eastAsia"/>
                <w:color w:val="000000"/>
                <w:kern w:val="0"/>
                <w:sz w:val="22"/>
                <w:lang w:bidi="ar"/>
              </w:rPr>
              <w:br/>
              <w:t>5、支持路由、透明、旁路、混合工作模式，支持静态路由、RIP、OSPF、BGP、ISIS等路由协议，支持链路聚合和端口联动功能，支持802.1Q VLAN Trunk、access接口。</w:t>
            </w:r>
            <w:r>
              <w:rPr>
                <w:rFonts w:ascii="宋体" w:eastAsia="宋体" w:hAnsi="宋体" w:cs="宋体" w:hint="eastAsia"/>
                <w:color w:val="000000"/>
                <w:kern w:val="0"/>
                <w:sz w:val="22"/>
                <w:lang w:bidi="ar"/>
              </w:rPr>
              <w:br/>
              <w:t>5、支持基于如时间、IP、用户分组、应用协议、URL分类、接入等多种方式的安全策略的配置。</w:t>
            </w:r>
            <w:r>
              <w:rPr>
                <w:rFonts w:ascii="宋体" w:eastAsia="宋体" w:hAnsi="宋体" w:cs="宋体" w:hint="eastAsia"/>
                <w:color w:val="000000"/>
                <w:kern w:val="0"/>
                <w:sz w:val="22"/>
                <w:lang w:bidi="ar"/>
              </w:rPr>
              <w:br/>
              <w:t>6、IPS入侵防御模块，检测并识别针对漏洞发起的攻击，支持DoS/DDoS攻击防护，防护常见应用服务和数据库软件的暴力破解，具备独立的入侵防护漏洞规则特征库。</w:t>
            </w:r>
            <w:r>
              <w:rPr>
                <w:rFonts w:ascii="宋体" w:eastAsia="宋体" w:hAnsi="宋体" w:cs="宋体" w:hint="eastAsia"/>
                <w:color w:val="000000"/>
                <w:kern w:val="0"/>
                <w:sz w:val="22"/>
                <w:lang w:bidi="ar"/>
              </w:rPr>
              <w:br/>
              <w:t>7、防病毒模块，支持HTTP、FTP、SMTP、POP3、IMAP、NFS等协议的病毒防护， 可支持对多重压缩文件的病毒检测能力，支持不小于12层压缩文件病毒检测与处置，支持僵尸主机检测功能，支持CC通信检测防护，支持CC攻击防护功能等。</w:t>
            </w:r>
            <w:r>
              <w:rPr>
                <w:rFonts w:ascii="宋体" w:eastAsia="宋体" w:hAnsi="宋体" w:cs="宋体" w:hint="eastAsia"/>
                <w:color w:val="000000"/>
                <w:kern w:val="0"/>
                <w:sz w:val="22"/>
                <w:lang w:bidi="ar"/>
              </w:rPr>
              <w:br/>
              <w:t>8、支持多种用户认证方式。</w:t>
            </w:r>
            <w:r>
              <w:rPr>
                <w:rFonts w:ascii="宋体" w:eastAsia="宋体" w:hAnsi="宋体" w:cs="宋体" w:hint="eastAsia"/>
                <w:color w:val="000000"/>
                <w:kern w:val="0"/>
                <w:sz w:val="22"/>
                <w:lang w:bidi="ar"/>
              </w:rPr>
              <w:br/>
              <w:t>9、三年产品质保，软件以及病毒库升级。</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1C722"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135D9"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r>
      <w:tr w:rsidR="00EC73A1" w14:paraId="030C1F0A" w14:textId="77777777">
        <w:trPr>
          <w:trHeight w:val="259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3C0F"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01B0"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防火墙续保</w:t>
            </w:r>
          </w:p>
        </w:tc>
        <w:tc>
          <w:tcPr>
            <w:tcW w:w="9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3888B"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USG6615E防火墙三年原厂续保</w:t>
            </w:r>
            <w:r>
              <w:rPr>
                <w:rFonts w:ascii="宋体" w:eastAsia="宋体" w:hAnsi="宋体" w:cs="宋体" w:hint="eastAsia"/>
                <w:color w:val="000000"/>
                <w:kern w:val="0"/>
                <w:sz w:val="22"/>
                <w:lang w:bidi="ar"/>
              </w:rPr>
              <w:br/>
              <w:t>1、投标方提供3年华为原厂维保服务，并提供原厂盖章的投标授权函，在合同签署后30日内提供原厂维保启动函。</w:t>
            </w:r>
            <w:r>
              <w:rPr>
                <w:rFonts w:ascii="宋体" w:eastAsia="宋体" w:hAnsi="宋体" w:cs="宋体" w:hint="eastAsia"/>
                <w:color w:val="000000"/>
                <w:kern w:val="0"/>
                <w:sz w:val="22"/>
                <w:lang w:bidi="ar"/>
              </w:rPr>
              <w:br/>
              <w:t>2、投标方在维保期内应提供包含但不限于热线受理、在线技术支持、软件更新授权、备件先行、现场问题处理等工作。</w:t>
            </w:r>
            <w:r>
              <w:rPr>
                <w:rFonts w:ascii="宋体" w:eastAsia="宋体" w:hAnsi="宋体" w:cs="宋体" w:hint="eastAsia"/>
                <w:color w:val="000000"/>
                <w:kern w:val="0"/>
                <w:sz w:val="22"/>
                <w:lang w:bidi="ar"/>
              </w:rPr>
              <w:br/>
              <w:t>4、投标方为维保设备提供7*24小时的远程问题处理与在线技术支持。</w:t>
            </w:r>
            <w:r>
              <w:rPr>
                <w:rFonts w:ascii="宋体" w:eastAsia="宋体" w:hAnsi="宋体" w:cs="宋体" w:hint="eastAsia"/>
                <w:color w:val="000000"/>
                <w:kern w:val="0"/>
                <w:sz w:val="22"/>
                <w:lang w:bidi="ar"/>
              </w:rPr>
              <w:br/>
              <w:t>5、投标方为维保设备提供软件版本管理服务，定期现场升级软件版本或补丁。</w:t>
            </w:r>
            <w:r>
              <w:rPr>
                <w:rFonts w:ascii="宋体" w:eastAsia="宋体" w:hAnsi="宋体" w:cs="宋体" w:hint="eastAsia"/>
                <w:color w:val="000000"/>
                <w:kern w:val="0"/>
                <w:sz w:val="22"/>
                <w:lang w:bidi="ar"/>
              </w:rPr>
              <w:br/>
              <w:t>6、投标方为维保设备提供7*10*ND（ND指下一日）的备件先行服务。</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9FA89"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D42E4"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r>
      <w:tr w:rsidR="00EC73A1" w14:paraId="091340F8" w14:textId="77777777">
        <w:trPr>
          <w:trHeight w:val="2304"/>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F7FEE"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70E9"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WEB防火墙续保</w:t>
            </w:r>
          </w:p>
        </w:tc>
        <w:tc>
          <w:tcPr>
            <w:tcW w:w="9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73B89"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WAF5250 Web应用防火墙三年续保</w:t>
            </w:r>
            <w:r>
              <w:rPr>
                <w:rFonts w:ascii="宋体" w:eastAsia="宋体" w:hAnsi="宋体" w:cs="宋体" w:hint="eastAsia"/>
                <w:color w:val="000000"/>
                <w:kern w:val="0"/>
                <w:sz w:val="22"/>
                <w:lang w:bidi="ar"/>
              </w:rPr>
              <w:br/>
              <w:t>1、投标方提供3年华为原厂维保服务，并提供原厂盖章的投标授权函，在合同签署后30日内提供原厂维保启动函。</w:t>
            </w:r>
            <w:r>
              <w:rPr>
                <w:rFonts w:ascii="宋体" w:eastAsia="宋体" w:hAnsi="宋体" w:cs="宋体" w:hint="eastAsia"/>
                <w:color w:val="000000"/>
                <w:kern w:val="0"/>
                <w:sz w:val="22"/>
                <w:lang w:bidi="ar"/>
              </w:rPr>
              <w:br/>
              <w:t>2、投标方在维保期内应提供包含但不限于热线受理、在线技术支持、软件更新授权、备件先行、现场问题处理等工作。</w:t>
            </w:r>
            <w:r>
              <w:rPr>
                <w:rFonts w:ascii="宋体" w:eastAsia="宋体" w:hAnsi="宋体" w:cs="宋体" w:hint="eastAsia"/>
                <w:color w:val="000000"/>
                <w:kern w:val="0"/>
                <w:sz w:val="22"/>
                <w:lang w:bidi="ar"/>
              </w:rPr>
              <w:br/>
              <w:t>4、投标方为维保设备提供7*24小时的远程问题处理与在线技术支持。</w:t>
            </w:r>
            <w:r>
              <w:rPr>
                <w:rFonts w:ascii="宋体" w:eastAsia="宋体" w:hAnsi="宋体" w:cs="宋体" w:hint="eastAsia"/>
                <w:color w:val="000000"/>
                <w:kern w:val="0"/>
                <w:sz w:val="22"/>
                <w:lang w:bidi="ar"/>
              </w:rPr>
              <w:br/>
              <w:t>5、投标方为维保设备提供软件版本管理服务，定期现场升级软件版本或补丁。</w:t>
            </w:r>
            <w:r>
              <w:rPr>
                <w:rFonts w:ascii="宋体" w:eastAsia="宋体" w:hAnsi="宋体" w:cs="宋体" w:hint="eastAsia"/>
                <w:color w:val="000000"/>
                <w:kern w:val="0"/>
                <w:sz w:val="22"/>
                <w:lang w:bidi="ar"/>
              </w:rPr>
              <w:br/>
              <w:t>6、投标方为维保设备提供7*10*ND（ND指下一日）的备件先行服务。</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3BF03"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CAAD"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r>
      <w:tr w:rsidR="00EC73A1" w14:paraId="49771359" w14:textId="77777777">
        <w:trPr>
          <w:trHeight w:val="576"/>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0FB5"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73A2"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防火墙特征库升级</w:t>
            </w:r>
          </w:p>
        </w:tc>
        <w:tc>
          <w:tcPr>
            <w:tcW w:w="9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08BB"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USG6615E 3年IPS/AV/URL授权升级</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7E9F1"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8DB4"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r>
      <w:tr w:rsidR="00EC73A1" w14:paraId="1DBD78AF" w14:textId="77777777">
        <w:trPr>
          <w:trHeight w:val="576"/>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18D1"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B01D0"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WEB防火墙特征库升级</w:t>
            </w:r>
          </w:p>
        </w:tc>
        <w:tc>
          <w:tcPr>
            <w:tcW w:w="9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5404"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WAF5250 Web应用防火墙特征库升级服务3年License</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0F3EC"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A6FBC"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r>
      <w:tr w:rsidR="00EC73A1" w14:paraId="080C2DC5" w14:textId="77777777">
        <w:trPr>
          <w:trHeight w:val="115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8EF2"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78454"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服务器配套软件</w:t>
            </w:r>
          </w:p>
        </w:tc>
        <w:tc>
          <w:tcPr>
            <w:tcW w:w="9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36A6"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安装系统软件，主、从服务器数据备份的相关部署，实现一主一备，实现错误隔离以及主、备份服务器间的服务切换，实现双机高可靠性、持续的数据复制、按需复制性能资源最佳化、多种数据传输模式、低资源消耗、网络负载调节、自动的应用高可用组策略、简洁直观的远程集中管理。</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579E"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3604" w14:textId="77777777" w:rsidR="00EC73A1" w:rsidRDefault="0000000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r>
    </w:tbl>
    <w:p w14:paraId="56448AD9" w14:textId="77777777" w:rsidR="00EC73A1" w:rsidRDefault="00EC73A1">
      <w:pPr>
        <w:adjustRightInd w:val="0"/>
        <w:snapToGrid w:val="0"/>
        <w:spacing w:beforeLines="50" w:before="120" w:line="360" w:lineRule="auto"/>
        <w:jc w:val="left"/>
        <w:rPr>
          <w:rFonts w:ascii="宋体" w:eastAsia="宋体" w:hAnsi="宋体" w:cs="Times New Roman"/>
          <w:b/>
          <w:bCs/>
          <w:sz w:val="24"/>
          <w:szCs w:val="24"/>
        </w:rPr>
      </w:pPr>
    </w:p>
    <w:p w14:paraId="1E8F8E16" w14:textId="77777777" w:rsidR="00EC73A1" w:rsidRDefault="00EC73A1">
      <w:pPr>
        <w:adjustRightInd w:val="0"/>
        <w:snapToGrid w:val="0"/>
        <w:spacing w:beforeLines="50" w:before="120" w:line="360" w:lineRule="auto"/>
        <w:jc w:val="left"/>
        <w:rPr>
          <w:rFonts w:ascii="宋体" w:eastAsia="宋体" w:hAnsi="宋体" w:cs="Times New Roman"/>
          <w:b/>
          <w:bCs/>
          <w:sz w:val="24"/>
          <w:szCs w:val="24"/>
        </w:rPr>
      </w:pPr>
    </w:p>
    <w:sectPr w:rsidR="00EC73A1">
      <w:pgSz w:w="16838" w:h="11906" w:orient="landscape"/>
      <w:pgMar w:top="1418" w:right="1418" w:bottom="1134" w:left="1134" w:header="851" w:footer="284"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8193" w14:textId="77777777" w:rsidR="00F32FE2" w:rsidRDefault="00F32FE2">
      <w:r>
        <w:separator/>
      </w:r>
    </w:p>
  </w:endnote>
  <w:endnote w:type="continuationSeparator" w:id="0">
    <w:p w14:paraId="5CAE0B52" w14:textId="77777777" w:rsidR="00F32FE2" w:rsidRDefault="00F3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5AB5" w14:textId="77777777" w:rsidR="00EC73A1" w:rsidRDefault="00000000">
    <w:pPr>
      <w:pStyle w:val="a5"/>
      <w:framePr w:wrap="around" w:vAnchor="text" w:hAnchor="margin" w:xAlign="center" w:y="1"/>
      <w:rPr>
        <w:rStyle w:val="ab"/>
      </w:rPr>
    </w:pPr>
    <w:r>
      <w:fldChar w:fldCharType="begin"/>
    </w:r>
    <w:r>
      <w:rPr>
        <w:rStyle w:val="ab"/>
      </w:rPr>
      <w:instrText xml:space="preserve">PAGE  </w:instrText>
    </w:r>
    <w:r>
      <w:fldChar w:fldCharType="separate"/>
    </w:r>
    <w:r>
      <w:fldChar w:fldCharType="end"/>
    </w:r>
  </w:p>
  <w:p w14:paraId="04D4908C" w14:textId="77777777" w:rsidR="00EC73A1" w:rsidRDefault="00EC73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2CB1" w14:textId="77777777" w:rsidR="00EC73A1" w:rsidRDefault="00EC73A1">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D995" w14:textId="77777777" w:rsidR="00EC73A1" w:rsidRDefault="00000000">
    <w:pPr>
      <w:pStyle w:val="a5"/>
    </w:pPr>
    <w:r>
      <w:rPr>
        <w:rFonts w:hint="eastAsia"/>
      </w:rPr>
      <w:t xml:space="preserve">                                              第</w:t>
    </w:r>
    <w:r>
      <w:fldChar w:fldCharType="begin"/>
    </w:r>
    <w:r>
      <w:rPr>
        <w:rStyle w:val="ab"/>
      </w:rPr>
      <w:instrText xml:space="preserve"> PAGE </w:instrText>
    </w:r>
    <w:r>
      <w:fldChar w:fldCharType="separate"/>
    </w:r>
    <w:r>
      <w:rPr>
        <w:rStyle w:val="ab"/>
      </w:rPr>
      <w:t>1</w:t>
    </w:r>
    <w:r>
      <w:fldChar w:fldCharType="end"/>
    </w:r>
    <w:r>
      <w:rPr>
        <w:rStyle w:val="ab"/>
        <w:rFonts w:hint="eastAsia"/>
      </w:rPr>
      <w:t>页，共</w:t>
    </w:r>
    <w:r>
      <w:fldChar w:fldCharType="begin"/>
    </w:r>
    <w:r>
      <w:rPr>
        <w:rStyle w:val="ab"/>
      </w:rPr>
      <w:instrText xml:space="preserve"> NUMPAGES </w:instrText>
    </w:r>
    <w:r>
      <w:fldChar w:fldCharType="separate"/>
    </w:r>
    <w:r>
      <w:rPr>
        <w:rStyle w:val="ab"/>
      </w:rPr>
      <w:t>11</w:t>
    </w:r>
    <w:r>
      <w:fldChar w:fldCharType="end"/>
    </w:r>
    <w:r>
      <w:rPr>
        <w:rStyle w:val="ab"/>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BEA0" w14:textId="77777777" w:rsidR="00F32FE2" w:rsidRDefault="00F32FE2">
      <w:r>
        <w:separator/>
      </w:r>
    </w:p>
  </w:footnote>
  <w:footnote w:type="continuationSeparator" w:id="0">
    <w:p w14:paraId="4D590CDC" w14:textId="77777777" w:rsidR="00F32FE2" w:rsidRDefault="00F3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EEA9" w14:textId="77777777" w:rsidR="00EC73A1" w:rsidRDefault="00000000">
    <w:pPr>
      <w:pStyle w:val="a7"/>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VmZmY5MDg4YjAxMmVmZjE0ZWY3N2NkOWM1ODgzYTEifQ=="/>
  </w:docVars>
  <w:rsids>
    <w:rsidRoot w:val="005878D3"/>
    <w:rsid w:val="00282F7B"/>
    <w:rsid w:val="00367FDC"/>
    <w:rsid w:val="004D51E5"/>
    <w:rsid w:val="005878D3"/>
    <w:rsid w:val="005B454C"/>
    <w:rsid w:val="005C778C"/>
    <w:rsid w:val="005D4E57"/>
    <w:rsid w:val="006F2D65"/>
    <w:rsid w:val="00756BAD"/>
    <w:rsid w:val="00847667"/>
    <w:rsid w:val="008D365B"/>
    <w:rsid w:val="009E498D"/>
    <w:rsid w:val="00B346F4"/>
    <w:rsid w:val="00C26A64"/>
    <w:rsid w:val="00D90DED"/>
    <w:rsid w:val="00EA688B"/>
    <w:rsid w:val="00EC73A1"/>
    <w:rsid w:val="00F32FE2"/>
    <w:rsid w:val="00F750A8"/>
    <w:rsid w:val="00F77A78"/>
    <w:rsid w:val="02993A39"/>
    <w:rsid w:val="02FE0572"/>
    <w:rsid w:val="0AF95D2C"/>
    <w:rsid w:val="0BB85EB8"/>
    <w:rsid w:val="144E689A"/>
    <w:rsid w:val="152A48D9"/>
    <w:rsid w:val="19043727"/>
    <w:rsid w:val="191C235D"/>
    <w:rsid w:val="1A9048CA"/>
    <w:rsid w:val="1BB861D6"/>
    <w:rsid w:val="22F0014C"/>
    <w:rsid w:val="232956BD"/>
    <w:rsid w:val="24FC14B6"/>
    <w:rsid w:val="2ED75B23"/>
    <w:rsid w:val="36043C49"/>
    <w:rsid w:val="3AD60D98"/>
    <w:rsid w:val="3D902E20"/>
    <w:rsid w:val="4A7B0E39"/>
    <w:rsid w:val="4E434405"/>
    <w:rsid w:val="50D906D6"/>
    <w:rsid w:val="56B17C52"/>
    <w:rsid w:val="5EC8177B"/>
    <w:rsid w:val="5F8202FB"/>
    <w:rsid w:val="625333B1"/>
    <w:rsid w:val="62575D63"/>
    <w:rsid w:val="63953498"/>
    <w:rsid w:val="64DF7255"/>
    <w:rsid w:val="69FA7C16"/>
    <w:rsid w:val="6A337A1C"/>
    <w:rsid w:val="6D1622F5"/>
    <w:rsid w:val="6DA734DD"/>
    <w:rsid w:val="77513B7D"/>
    <w:rsid w:val="7C04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8269"/>
  <w15:docId w15:val="{D42B8453-60E6-4ECE-B3F7-6B424201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Body Text Indent"/>
    <w:basedOn w:val="a"/>
    <w:next w:val="a"/>
    <w:qFormat/>
    <w:pPr>
      <w:spacing w:after="120"/>
      <w:ind w:leftChars="200" w:left="4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Body Text First Indent"/>
    <w:basedOn w:val="a3"/>
    <w:qFormat/>
    <w:pPr>
      <w:spacing w:line="312" w:lineRule="auto"/>
      <w:ind w:firstLine="420"/>
    </w:pPr>
  </w:style>
  <w:style w:type="paragraph" w:styleId="2">
    <w:name w:val="Body Text First Indent 2"/>
    <w:basedOn w:val="a4"/>
    <w:next w:val="aa"/>
    <w:qFormat/>
    <w:pPr>
      <w:ind w:firstLine="420"/>
    </w:pPr>
  </w:style>
  <w:style w:type="character" w:styleId="ab">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paragraph" w:customStyle="1" w:styleId="New">
    <w:name w:val="正文 New"/>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占军</dc:creator>
  <cp:lastModifiedBy>Fu Tian</cp:lastModifiedBy>
  <cp:revision>14</cp:revision>
  <cp:lastPrinted>2023-11-22T07:49:00Z</cp:lastPrinted>
  <dcterms:created xsi:type="dcterms:W3CDTF">2023-05-07T01:08:00Z</dcterms:created>
  <dcterms:modified xsi:type="dcterms:W3CDTF">2023-11-23T01:37:00Z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84DDA389B5DE4BDE9D02E2C3275F37FB_13</vt:lpwstr>
  </property>
</Properties>
</file>